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51083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Wrightwood</w:t>
      </w:r>
    </w:p>
    <w:p w:rsidR="0051083B" w:rsidRDefault="0051083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51083B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51083B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51083B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51083B" w:rsidRPr="00B44814" w:rsidRDefault="0051083B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4FE2CA9" wp14:editId="014E2971">
            <wp:extent cx="9191625" cy="61531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1083B" w:rsidRPr="00B44814" w:rsidSect="00B448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14"/>
    <w:rsid w:val="00020F92"/>
    <w:rsid w:val="00206930"/>
    <w:rsid w:val="0051083B"/>
    <w:rsid w:val="00B44814"/>
    <w:rsid w:val="00B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B312F-2798-4ABC-95B0-4C36A28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103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9</c:v>
                </c:pt>
                <c:pt idx="4">
                  <c:v>12</c:v>
                </c:pt>
                <c:pt idx="5">
                  <c:v>17</c:v>
                </c:pt>
                <c:pt idx="6">
                  <c:v>6</c:v>
                </c:pt>
                <c:pt idx="7">
                  <c:v>9</c:v>
                </c:pt>
                <c:pt idx="8">
                  <c:v>6</c:v>
                </c:pt>
                <c:pt idx="9">
                  <c:v>11</c:v>
                </c:pt>
                <c:pt idx="10">
                  <c:v>10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0268144"/>
        <c:axId val="350268536"/>
        <c:axId val="0"/>
      </c:bar3DChart>
      <c:catAx>
        <c:axId val="350268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0268536"/>
        <c:crosses val="autoZero"/>
        <c:auto val="1"/>
        <c:lblAlgn val="ctr"/>
        <c:lblOffset val="100"/>
        <c:noMultiLvlLbl val="0"/>
      </c:catAx>
      <c:valAx>
        <c:axId val="3502685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0268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0.16062</cdr:x>
      <cdr:y>0.13158</cdr:y>
    </cdr:from>
    <cdr:to>
      <cdr:x>0.55026</cdr:x>
      <cdr:y>0.17647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809625"/>
          <a:ext cx="35814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3,310</a:t>
          </a:r>
          <a:r>
            <a:rPr lang="en-US" sz="1100"/>
            <a:t> - Average Year Built </a:t>
          </a:r>
          <a:r>
            <a:rPr lang="en-US" sz="1100" b="1"/>
            <a:t>1967</a:t>
          </a:r>
        </a:p>
      </cdr:txBody>
    </cdr:sp>
  </cdr:relSizeAnchor>
  <cdr:relSizeAnchor xmlns:cdr="http://schemas.openxmlformats.org/drawingml/2006/chartDrawing">
    <cdr:from>
      <cdr:x>0.16062</cdr:x>
      <cdr:y>0.19505</cdr:y>
    </cdr:from>
    <cdr:to>
      <cdr:x>0.48187</cdr:x>
      <cdr:y>0.23684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200150"/>
          <a:ext cx="29527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2,879</a:t>
          </a:r>
          <a:r>
            <a:rPr lang="en-US" sz="1100" baseline="0"/>
            <a:t> - Average Year Built </a:t>
          </a:r>
          <a:r>
            <a:rPr lang="en-US" sz="1100" b="1" baseline="0"/>
            <a:t>2006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0.16166</cdr:x>
      <cdr:y>0.25387</cdr:y>
    </cdr:from>
    <cdr:to>
      <cdr:x>0.54819</cdr:x>
      <cdr:y>0.30031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562100"/>
          <a:ext cx="35528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2,025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0.16062</cdr:x>
      <cdr:y>0.31889</cdr:y>
    </cdr:from>
    <cdr:to>
      <cdr:x>0.48601</cdr:x>
      <cdr:y>0.36068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62150"/>
          <a:ext cx="2990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1,999</a:t>
          </a:r>
          <a:r>
            <a:rPr lang="en-US" sz="1100"/>
            <a:t> Average Year</a:t>
          </a:r>
          <a:r>
            <a:rPr lang="en-US" sz="1100" baseline="0"/>
            <a:t> Built </a:t>
          </a:r>
          <a:r>
            <a:rPr lang="en-US" sz="1100" b="1" baseline="0"/>
            <a:t>1979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0.15855</cdr:x>
      <cdr:y>0.3808</cdr:y>
    </cdr:from>
    <cdr:to>
      <cdr:x>0.49948</cdr:x>
      <cdr:y>0.4226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57325" y="2343150"/>
          <a:ext cx="31337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1,776 </a:t>
          </a:r>
          <a:r>
            <a:rPr lang="en-US" sz="1100"/>
            <a:t>- Average Year Built </a:t>
          </a:r>
          <a:r>
            <a:rPr lang="en-US" sz="1100" b="1"/>
            <a:t>1976</a:t>
          </a:r>
        </a:p>
      </cdr:txBody>
    </cdr:sp>
  </cdr:relSizeAnchor>
  <cdr:relSizeAnchor xmlns:cdr="http://schemas.openxmlformats.org/drawingml/2006/chartDrawing">
    <cdr:from>
      <cdr:x>0.16062</cdr:x>
      <cdr:y>0.44272</cdr:y>
    </cdr:from>
    <cdr:to>
      <cdr:x>0.48912</cdr:x>
      <cdr:y>0.48297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724150"/>
          <a:ext cx="30194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1,613</a:t>
          </a:r>
          <a:r>
            <a:rPr lang="en-US" sz="1100"/>
            <a:t> - Average Year Built </a:t>
          </a:r>
          <a:r>
            <a:rPr lang="en-US" sz="1100" b="1"/>
            <a:t>1978</a:t>
          </a:r>
        </a:p>
      </cdr:txBody>
    </cdr:sp>
  </cdr:relSizeAnchor>
  <cdr:relSizeAnchor xmlns:cdr="http://schemas.openxmlformats.org/drawingml/2006/chartDrawing">
    <cdr:from>
      <cdr:x>0.16062</cdr:x>
      <cdr:y>0.50619</cdr:y>
    </cdr:from>
    <cdr:to>
      <cdr:x>0.48497</cdr:x>
      <cdr:y>0.54799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114675"/>
          <a:ext cx="29813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1,492</a:t>
          </a:r>
          <a:r>
            <a:rPr lang="en-US" sz="1100" baseline="0"/>
            <a:t> - Average Year Built </a:t>
          </a:r>
          <a:r>
            <a:rPr lang="en-US" sz="1100" b="1" baseline="0"/>
            <a:t>1980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0.16166</cdr:x>
      <cdr:y>0.56656</cdr:y>
    </cdr:from>
    <cdr:to>
      <cdr:x>0.4715</cdr:x>
      <cdr:y>0.60991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486150"/>
          <a:ext cx="28479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1,240</a:t>
          </a:r>
          <a:r>
            <a:rPr lang="en-US" sz="1100" baseline="0"/>
            <a:t> - Average Year Built </a:t>
          </a:r>
          <a:r>
            <a:rPr lang="en-US" sz="1100" b="1" baseline="0"/>
            <a:t>1979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0.16166</cdr:x>
      <cdr:y>0.63003</cdr:y>
    </cdr:from>
    <cdr:to>
      <cdr:x>0.48394</cdr:x>
      <cdr:y>0.67337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3876675"/>
          <a:ext cx="2962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1,029 </a:t>
          </a:r>
          <a:r>
            <a:rPr lang="en-US" sz="1100"/>
            <a:t>- Average Year</a:t>
          </a:r>
          <a:r>
            <a:rPr lang="en-US" sz="1100" baseline="0"/>
            <a:t> Built </a:t>
          </a:r>
          <a:r>
            <a:rPr lang="en-US" sz="1100" b="1" baseline="0"/>
            <a:t>1962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0.16062</cdr:x>
      <cdr:y>0.6904</cdr:y>
    </cdr:from>
    <cdr:to>
      <cdr:x>0.51192</cdr:x>
      <cdr:y>0.73375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248150"/>
          <a:ext cx="32289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1,109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1965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0.16062</cdr:x>
      <cdr:y>0.75542</cdr:y>
    </cdr:from>
    <cdr:to>
      <cdr:x>0.53679</cdr:x>
      <cdr:y>0.79721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648200"/>
          <a:ext cx="3457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883</a:t>
          </a:r>
          <a:r>
            <a:rPr lang="en-US" sz="1100" baseline="0"/>
            <a:t> - Average Year Built </a:t>
          </a:r>
          <a:r>
            <a:rPr lang="en-US" sz="1100" b="1" baseline="0"/>
            <a:t>1963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0.16062</cdr:x>
      <cdr:y>0.81579</cdr:y>
    </cdr:from>
    <cdr:to>
      <cdr:x>0.48497</cdr:x>
      <cdr:y>0.85759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019675"/>
          <a:ext cx="29813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701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1955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0.16062</cdr:x>
      <cdr:y>0.87771</cdr:y>
    </cdr:from>
    <cdr:to>
      <cdr:x>0.51503</cdr:x>
      <cdr:y>0.9195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400675"/>
          <a:ext cx="32575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928 </a:t>
          </a:r>
          <a:r>
            <a:rPr lang="en-US" sz="1100"/>
            <a:t>- Average Year Built </a:t>
          </a:r>
          <a:r>
            <a:rPr lang="en-US" sz="1100" b="1"/>
            <a:t>1948</a:t>
          </a:r>
        </a:p>
      </cdr:txBody>
    </cdr:sp>
  </cdr:relSizeAnchor>
  <cdr:relSizeAnchor xmlns:cdr="http://schemas.openxmlformats.org/drawingml/2006/chartDrawing">
    <cdr:from>
      <cdr:x>0.16062</cdr:x>
      <cdr:y>0.93963</cdr:y>
    </cdr:from>
    <cdr:to>
      <cdr:x>0.53782</cdr:x>
      <cdr:y>0.98607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781675"/>
          <a:ext cx="34671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612</a:t>
          </a:r>
          <a:r>
            <a:rPr lang="en-US" sz="1100"/>
            <a:t> - Year Built </a:t>
          </a:r>
          <a:r>
            <a:rPr lang="en-US" sz="1100" b="1"/>
            <a:t>1936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2017-11-10T17:38:00Z</dcterms:created>
  <dcterms:modified xsi:type="dcterms:W3CDTF">2017-11-10T18:22:00Z</dcterms:modified>
</cp:coreProperties>
</file>